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886398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886398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886398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886398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(проект)</w:t>
      </w:r>
      <w:r>
        <w:rPr>
          <w:b/>
          <w:sz w:val="40"/>
          <w:szCs w:val="20"/>
          <w:lang w:val="x-none" w:eastAsia="x-none"/>
        </w:rPr>
        <w:t xml:space="preserve">               </w:t>
      </w:r>
      <w:r>
        <w:rPr>
          <w:sz w:val="40"/>
          <w:szCs w:val="20"/>
          <w:lang w:val="x-none" w:eastAsia="x-none"/>
        </w:rPr>
        <w:t xml:space="preserve"> </w:t>
      </w:r>
    </w:p>
    <w:p w:rsidR="00151F15" w:rsidRDefault="00886398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8626B0">
        <w:rPr>
          <w:sz w:val="28"/>
          <w:szCs w:val="28"/>
          <w:lang w:val="ru-RU" w:eastAsia="ru-RU"/>
        </w:rPr>
        <w:t xml:space="preserve">«15» марта </w:t>
      </w:r>
      <w:r w:rsidR="008626B0">
        <w:rPr>
          <w:sz w:val="28"/>
          <w:szCs w:val="20"/>
          <w:lang w:val="ru-RU" w:eastAsia="ru-RU"/>
        </w:rPr>
        <w:t>2023 года</w:t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 </w:t>
      </w:r>
      <w:r>
        <w:rPr>
          <w:sz w:val="28"/>
          <w:szCs w:val="20"/>
          <w:lang w:val="ru-RU" w:eastAsia="ru-RU"/>
        </w:rPr>
        <w:t xml:space="preserve">№ </w:t>
      </w:r>
      <w:r w:rsidR="008626B0">
        <w:rPr>
          <w:sz w:val="28"/>
          <w:szCs w:val="20"/>
          <w:u w:val="single"/>
          <w:lang w:val="ru-RU" w:eastAsia="ru-RU"/>
        </w:rPr>
        <w:t>276</w:t>
      </w:r>
    </w:p>
    <w:p w:rsidR="00151F15" w:rsidRDefault="00886398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886398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886398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E0409" w:rsidRPr="00EE0409">
        <w:rPr>
          <w:spacing w:val="1"/>
          <w:sz w:val="28"/>
          <w:szCs w:val="28"/>
          <w:lang w:val="ru-RU" w:eastAsia="ru-RU"/>
        </w:rPr>
        <w:t>21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</w:t>
      </w:r>
      <w:r w:rsidR="00EE0409" w:rsidRPr="00EE0409">
        <w:rPr>
          <w:sz w:val="28"/>
          <w:szCs w:val="28"/>
          <w:lang w:val="ru-RU" w:eastAsia="ru-RU"/>
        </w:rPr>
        <w:t>1</w:t>
      </w:r>
      <w:r w:rsidR="00E11F56">
        <w:rPr>
          <w:sz w:val="28"/>
          <w:szCs w:val="28"/>
          <w:lang w:val="ru-RU" w:eastAsia="ru-RU"/>
        </w:rPr>
        <w:t>0-2</w:t>
      </w:r>
      <w:r w:rsidR="00EE0409" w:rsidRPr="00EE0409">
        <w:rPr>
          <w:sz w:val="28"/>
          <w:szCs w:val="28"/>
          <w:lang w:val="ru-RU" w:eastAsia="ru-RU"/>
        </w:rPr>
        <w:t>13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EE0409" w:rsidRDefault="00886398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EE0409">
        <w:rPr>
          <w:sz w:val="28"/>
          <w:szCs w:val="28"/>
          <w:lang w:val="ru-RU" w:eastAsia="ru-RU"/>
        </w:rPr>
        <w:t xml:space="preserve">1. </w:t>
      </w:r>
      <w:r w:rsidR="001E7958" w:rsidRPr="00EE0409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EE0409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EE0409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EE0409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границ</w:t>
      </w:r>
      <w:r w:rsidR="001E7958" w:rsidRPr="00EE0409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публичного</w:t>
      </w:r>
      <w:r w:rsidR="001E7958" w:rsidRPr="00EE0409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сервитута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EE0409">
        <w:rPr>
          <w:sz w:val="28"/>
          <w:szCs w:val="28"/>
          <w:lang w:val="ru-RU" w:eastAsia="ru-RU"/>
        </w:rPr>
        <w:t xml:space="preserve">– </w:t>
      </w:r>
      <w:r w:rsidR="00EE0409">
        <w:rPr>
          <w:sz w:val="28"/>
          <w:szCs w:val="28"/>
          <w:lang w:val="ru-RU" w:eastAsia="ru-RU"/>
        </w:rPr>
        <w:t>э</w:t>
      </w:r>
      <w:r w:rsidR="00EE0409" w:rsidRPr="00EE0409">
        <w:rPr>
          <w:sz w:val="28"/>
          <w:szCs w:val="28"/>
          <w:lang w:val="ru-RU" w:eastAsia="ru-RU"/>
        </w:rPr>
        <w:t>лектросетевой комплекс</w:t>
      </w:r>
      <w:r w:rsidR="001E7958" w:rsidRPr="00EE0409">
        <w:rPr>
          <w:w w:val="105"/>
          <w:sz w:val="28"/>
          <w:szCs w:val="28"/>
          <w:lang w:val="ru-RU" w:eastAsia="ru-RU"/>
        </w:rPr>
        <w:t>,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площадью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EE0409" w:rsidRPr="00EE0409">
        <w:rPr>
          <w:sz w:val="28"/>
          <w:szCs w:val="28"/>
          <w:lang w:val="ru-RU" w:eastAsia="ru-RU"/>
        </w:rPr>
        <w:t>3311 ± 20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1E7958" w:rsidRPr="00EE0409">
        <w:rPr>
          <w:w w:val="105"/>
          <w:sz w:val="28"/>
          <w:szCs w:val="28"/>
          <w:lang w:val="ru-RU" w:eastAsia="ru-RU"/>
        </w:rPr>
        <w:t>кв.м</w:t>
      </w:r>
      <w:proofErr w:type="spellEnd"/>
      <w:r w:rsidR="00DD11FF">
        <w:rPr>
          <w:w w:val="105"/>
          <w:sz w:val="28"/>
          <w:szCs w:val="28"/>
          <w:lang w:val="ru-RU" w:eastAsia="ru-RU"/>
        </w:rPr>
        <w:t>.</w:t>
      </w:r>
      <w:r w:rsidR="001E7958" w:rsidRPr="00EE0409">
        <w:rPr>
          <w:w w:val="105"/>
          <w:sz w:val="28"/>
          <w:szCs w:val="28"/>
          <w:lang w:val="ru-RU" w:eastAsia="ru-RU"/>
        </w:rPr>
        <w:t>,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объекта: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край,</w:t>
      </w:r>
      <w:r w:rsidR="001E7958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sz w:val="28"/>
          <w:szCs w:val="28"/>
          <w:lang w:val="ru-RU" w:eastAsia="ru-RU"/>
        </w:rPr>
        <w:t>Забайкальский</w:t>
      </w:r>
      <w:r w:rsidR="001E7958" w:rsidRPr="00EE0409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EE0409">
        <w:rPr>
          <w:w w:val="105"/>
          <w:sz w:val="28"/>
          <w:szCs w:val="28"/>
          <w:lang w:val="ru-RU" w:eastAsia="ru-RU"/>
        </w:rPr>
        <w:t>район.</w:t>
      </w:r>
    </w:p>
    <w:p w:rsidR="00E11F56" w:rsidRPr="00EE0409" w:rsidRDefault="00886398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EE0409">
        <w:rPr>
          <w:sz w:val="28"/>
          <w:szCs w:val="28"/>
          <w:lang w:val="ru-RU" w:eastAsia="ru-RU"/>
        </w:rPr>
        <w:t>2.</w:t>
      </w:r>
      <w:r w:rsidR="00DD11FF">
        <w:rPr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В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целях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EE0409" w:rsidRPr="00EE0409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</w:t>
      </w:r>
      <w:r w:rsidR="00DD11FF">
        <w:rPr>
          <w:sz w:val="28"/>
          <w:szCs w:val="28"/>
          <w:lang w:val="ru-RU" w:eastAsia="ru-RU"/>
        </w:rPr>
        <w:t>э</w:t>
      </w:r>
      <w:r w:rsidR="00EE0409" w:rsidRPr="00EE0409">
        <w:rPr>
          <w:sz w:val="28"/>
          <w:szCs w:val="28"/>
          <w:lang w:val="ru-RU" w:eastAsia="ru-RU"/>
        </w:rPr>
        <w:t>лектросетевой комплекс</w:t>
      </w:r>
      <w:r w:rsidRPr="00EE0409">
        <w:rPr>
          <w:w w:val="105"/>
          <w:sz w:val="28"/>
          <w:szCs w:val="28"/>
          <w:lang w:val="ru-RU" w:eastAsia="ru-RU"/>
        </w:rPr>
        <w:t xml:space="preserve">, площадь </w:t>
      </w:r>
      <w:r w:rsidR="00EE0409" w:rsidRPr="00EE0409">
        <w:rPr>
          <w:sz w:val="28"/>
          <w:szCs w:val="28"/>
          <w:lang w:val="ru-RU" w:eastAsia="ru-RU"/>
        </w:rPr>
        <w:t>3311 ± 20</w:t>
      </w:r>
      <w:r w:rsidR="00E12A86"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proofErr w:type="spellStart"/>
      <w:r w:rsidR="00E12A86" w:rsidRPr="00EE0409">
        <w:rPr>
          <w:spacing w:val="1"/>
          <w:w w:val="105"/>
          <w:sz w:val="28"/>
          <w:szCs w:val="28"/>
          <w:lang w:val="ru-RU" w:eastAsia="ru-RU"/>
        </w:rPr>
        <w:t>кв.</w:t>
      </w:r>
      <w:r w:rsidR="00494C6B" w:rsidRPr="00EE0409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="00DD11FF">
        <w:rPr>
          <w:spacing w:val="1"/>
          <w:w w:val="105"/>
          <w:sz w:val="28"/>
          <w:szCs w:val="28"/>
          <w:lang w:val="ru-RU" w:eastAsia="ru-RU"/>
        </w:rPr>
        <w:t>.</w:t>
      </w:r>
      <w:r w:rsidRPr="00EE0409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Забайкальский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край,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EE0409">
        <w:rPr>
          <w:sz w:val="28"/>
          <w:szCs w:val="28"/>
          <w:lang w:val="ru-RU" w:eastAsia="ru-RU"/>
        </w:rPr>
        <w:t>Забайкальский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район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установить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публичный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сервитут</w:t>
      </w:r>
      <w:r w:rsidRPr="00EE0409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сроком</w:t>
      </w:r>
      <w:r w:rsidRPr="00EE0409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на</w:t>
      </w:r>
      <w:r w:rsidRPr="00EE0409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49</w:t>
      </w:r>
      <w:r w:rsidRPr="00EE0409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лет</w:t>
      </w:r>
      <w:r w:rsidRPr="00EE0409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в</w:t>
      </w:r>
      <w:r w:rsidRPr="00EE0409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отношении</w:t>
      </w:r>
      <w:r w:rsidRPr="00EE0409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земельного</w:t>
      </w:r>
      <w:r w:rsidRPr="00EE0409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EE0409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886398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</w:t>
      </w:r>
      <w:r w:rsidR="00EE0409">
        <w:rPr>
          <w:sz w:val="28"/>
          <w:szCs w:val="28"/>
          <w:lang w:val="ru-RU" w:eastAsia="ru-RU"/>
        </w:rPr>
        <w:t>9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EE0409" w:rsidRPr="00EE0409">
        <w:rPr>
          <w:color w:val="000000"/>
          <w:sz w:val="28"/>
          <w:szCs w:val="28"/>
          <w:shd w:val="clear" w:color="auto" w:fill="FFFFFF"/>
          <w:lang w:val="ru-RU" w:eastAsia="ru-RU"/>
        </w:rPr>
        <w:t>403 513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886398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886398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886398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886398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886398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886398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886398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886398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886398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EE0409" w:rsidRPr="006C0D04">
        <w:rPr>
          <w:sz w:val="28"/>
          <w:szCs w:val="28"/>
          <w:lang w:val="ru-RU"/>
        </w:rPr>
        <w:t>75:06:000000:6</w:t>
      </w:r>
      <w:r w:rsidR="00EE0409">
        <w:rPr>
          <w:sz w:val="28"/>
          <w:szCs w:val="28"/>
          <w:lang w:val="ru-RU"/>
        </w:rPr>
        <w:t>9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886398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886398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886398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886398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DD11FF">
        <w:rPr>
          <w:b/>
          <w:sz w:val="28"/>
          <w:szCs w:val="28"/>
          <w:lang w:val="ru-RU" w:eastAsia="ru-RU"/>
        </w:rPr>
        <w:t xml:space="preserve">           </w:t>
      </w:r>
      <w:r w:rsidR="00764999">
        <w:rPr>
          <w:b/>
          <w:sz w:val="28"/>
          <w:szCs w:val="28"/>
          <w:lang w:val="ru-RU" w:eastAsia="ru-RU"/>
        </w:rPr>
        <w:t>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  <w:bookmarkStart w:id="0" w:name="_GoBack"/>
    </w:p>
    <w:bookmarkEnd w:id="0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E022AC" w:rsidTr="00B0781C">
        <w:tc>
          <w:tcPr>
            <w:tcW w:w="2500" w:type="pct"/>
          </w:tcPr>
          <w:p w:rsidR="00B0781C" w:rsidRDefault="00B0781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0781C" w:rsidRDefault="0088639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781C" w:rsidRDefault="00B0781C">
            <w:pPr>
              <w:jc w:val="right"/>
              <w:rPr>
                <w:sz w:val="28"/>
                <w:szCs w:val="28"/>
              </w:rPr>
            </w:pPr>
          </w:p>
          <w:p w:rsidR="00B0781C" w:rsidRDefault="00886398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B0781C" w:rsidRDefault="00886398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B0781C" w:rsidRDefault="00886398">
            <w:pPr>
              <w:jc w:val="right"/>
              <w:rPr>
                <w:rFonts w:eastAsia="Consolas"/>
                <w:color w:val="FFFFFF"/>
                <w:u w:val="single"/>
              </w:rPr>
            </w:pPr>
            <w:r>
              <w:rPr>
                <w:rFonts w:eastAsia="Consolas"/>
                <w:sz w:val="20"/>
                <w:szCs w:val="20"/>
                <w:u w:val="single"/>
              </w:rPr>
              <w:t>Администрации муниципального района</w:t>
            </w:r>
          </w:p>
          <w:p w:rsidR="00B0781C" w:rsidRDefault="00886398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B0781C" w:rsidRDefault="00886398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B0781C" w:rsidRDefault="00886398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B0781C" w:rsidRDefault="00886398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B0781C" w:rsidRDefault="00886398">
            <w:pPr>
              <w:jc w:val="right"/>
              <w:rPr>
                <w:rFonts w:eastAsia="Consolas"/>
                <w:sz w:val="14"/>
                <w:szCs w:val="14"/>
              </w:rPr>
            </w:pPr>
            <w:r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>
              <w:rPr>
                <w:rFonts w:eastAsia="Consolas"/>
                <w:sz w:val="14"/>
                <w:szCs w:val="14"/>
              </w:rPr>
              <w:t xml:space="preserve"> </w:t>
            </w:r>
          </w:p>
          <w:p w:rsidR="00B0781C" w:rsidRDefault="00886398">
            <w:pPr>
              <w:jc w:val="right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 xml:space="preserve">от </w:t>
            </w:r>
            <w:r w:rsidR="008626B0">
              <w:rPr>
                <w:sz w:val="28"/>
                <w:szCs w:val="28"/>
              </w:rPr>
              <w:t xml:space="preserve">«15» марта </w:t>
            </w:r>
            <w:r w:rsidR="008626B0">
              <w:rPr>
                <w:sz w:val="28"/>
                <w:szCs w:val="20"/>
              </w:rPr>
              <w:t>2023 года</w:t>
            </w:r>
            <w:r>
              <w:rPr>
                <w:rFonts w:eastAsia="Consolas"/>
                <w:sz w:val="28"/>
                <w:szCs w:val="28"/>
              </w:rPr>
              <w:t xml:space="preserve"> № </w:t>
            </w:r>
            <w:r w:rsidR="008626B0">
              <w:rPr>
                <w:rFonts w:eastAsia="Consolas"/>
                <w:sz w:val="28"/>
                <w:szCs w:val="28"/>
                <w:u w:val="single"/>
              </w:rPr>
              <w:t>276</w:t>
            </w:r>
          </w:p>
          <w:p w:rsidR="00B0781C" w:rsidRDefault="00B0781C">
            <w:pPr>
              <w:jc w:val="right"/>
              <w:rPr>
                <w:sz w:val="20"/>
                <w:szCs w:val="20"/>
              </w:rPr>
            </w:pPr>
          </w:p>
        </w:tc>
      </w:tr>
    </w:tbl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5C0536" w:rsidRDefault="00886398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</w:p>
    <w:p w:rsidR="005C0536" w:rsidRDefault="00886398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>Публичный сервитут Электросетевой комплекс</w:t>
      </w:r>
    </w:p>
    <w:p w:rsidR="005C0536" w:rsidRDefault="00886398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5C0536" w:rsidRDefault="0088639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E022AC">
        <w:trPr>
          <w:cantSplit/>
          <w:tblHeader/>
        </w:trPr>
        <w:tc>
          <w:tcPr>
            <w:tcW w:w="0" w:type="auto"/>
            <w:gridSpan w:val="3"/>
          </w:tcPr>
          <w:p w:rsidR="005C0536" w:rsidRDefault="0088639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</w:t>
            </w:r>
          </w:p>
        </w:tc>
      </w:tr>
      <w:tr w:rsidR="00E022AC">
        <w:trPr>
          <w:cantSplit/>
          <w:tblHeader/>
        </w:trPr>
        <w:tc>
          <w:tcPr>
            <w:tcW w:w="960" w:type="dxa"/>
            <w:vAlign w:val="center"/>
          </w:tcPr>
          <w:p w:rsidR="005C0536" w:rsidRDefault="0088639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220" w:type="dxa"/>
            <w:vAlign w:val="center"/>
          </w:tcPr>
          <w:p w:rsidR="005C0536" w:rsidRDefault="0088639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5C0536" w:rsidRDefault="00886398">
            <w:pPr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характеристик</w:t>
            </w:r>
          </w:p>
        </w:tc>
      </w:tr>
      <w:tr w:rsidR="00E022AC">
        <w:trPr>
          <w:cantSplit/>
        </w:trPr>
        <w:tc>
          <w:tcPr>
            <w:tcW w:w="0" w:type="auto"/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22AC" w:rsidRPr="008626B0">
        <w:tc>
          <w:tcPr>
            <w:tcW w:w="0" w:type="auto"/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край, Забайкальский р-н</w:t>
            </w:r>
          </w:p>
        </w:tc>
      </w:tr>
      <w:tr w:rsidR="00E022AC">
        <w:tc>
          <w:tcPr>
            <w:tcW w:w="0" w:type="auto"/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 ± 20</w:t>
            </w:r>
          </w:p>
        </w:tc>
      </w:tr>
      <w:tr w:rsidR="00E022AC">
        <w:tc>
          <w:tcPr>
            <w:tcW w:w="0" w:type="auto"/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5C0536" w:rsidRDefault="0088639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E022AC" w:rsidRPr="008626B0">
        <w:trPr>
          <w:cantSplit/>
          <w:tblHeader/>
        </w:trPr>
        <w:tc>
          <w:tcPr>
            <w:tcW w:w="0" w:type="auto"/>
            <w:gridSpan w:val="6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E022AC">
        <w:trPr>
          <w:cantSplit/>
          <w:tblHeader/>
        </w:trPr>
        <w:tc>
          <w:tcPr>
            <w:tcW w:w="0" w:type="auto"/>
            <w:gridSpan w:val="6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E022AC" w:rsidRPr="008626B0">
        <w:trPr>
          <w:cantSplit/>
          <w:tblHeader/>
        </w:trPr>
        <w:tc>
          <w:tcPr>
            <w:tcW w:w="0" w:type="auto"/>
            <w:gridSpan w:val="6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E022AC" w:rsidRPr="008626B0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E022AC">
        <w:trPr>
          <w:cantSplit/>
          <w:tblHeader/>
        </w:trPr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</w:tr>
      <w:tr w:rsidR="00E022AC">
        <w:trPr>
          <w:cantSplit/>
        </w:trPr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445115.28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4151218.14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445068.98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4151270.50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445000.71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4151275.16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445046.22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4151224.05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445076.40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4151221.42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445115.28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4151218.14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Геодезический метод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E022AC" w:rsidRPr="008626B0">
        <w:trPr>
          <w:cantSplit/>
          <w:tblHeader/>
        </w:trPr>
        <w:tc>
          <w:tcPr>
            <w:tcW w:w="0" w:type="auto"/>
            <w:gridSpan w:val="6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E022AC" w:rsidRPr="008626B0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E022AC">
        <w:trPr>
          <w:cantSplit/>
          <w:tblHeader/>
        </w:trPr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</w:tr>
      <w:tr w:rsidR="00E022AC">
        <w:trPr>
          <w:cantSplit/>
        </w:trPr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5C0536" w:rsidRDefault="0088639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E022AC" w:rsidRPr="008626B0">
        <w:trPr>
          <w:cantSplit/>
          <w:tblHeader/>
        </w:trPr>
        <w:tc>
          <w:tcPr>
            <w:tcW w:w="0" w:type="auto"/>
            <w:gridSpan w:val="8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E022AC">
        <w:trPr>
          <w:cantSplit/>
          <w:tblHeader/>
        </w:trPr>
        <w:tc>
          <w:tcPr>
            <w:tcW w:w="0" w:type="auto"/>
            <w:gridSpan w:val="8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координат МСК-75, зона 4</w:t>
            </w:r>
          </w:p>
        </w:tc>
      </w:tr>
      <w:tr w:rsidR="00E022AC" w:rsidRPr="008626B0">
        <w:trPr>
          <w:cantSplit/>
          <w:tblHeader/>
        </w:trPr>
        <w:tc>
          <w:tcPr>
            <w:tcW w:w="0" w:type="auto"/>
            <w:gridSpan w:val="8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E022AC" w:rsidRPr="008626B0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E022AC">
        <w:trPr>
          <w:cantSplit/>
          <w:tblHeader/>
        </w:trPr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</w:tr>
      <w:tr w:rsidR="00E022AC">
        <w:trPr>
          <w:cantSplit/>
        </w:trPr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E022AC" w:rsidRPr="008626B0">
        <w:trPr>
          <w:cantSplit/>
          <w:tblHeader/>
        </w:trPr>
        <w:tc>
          <w:tcPr>
            <w:tcW w:w="0" w:type="auto"/>
            <w:gridSpan w:val="8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E022AC" w:rsidRPr="008626B0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E022AC">
        <w:trPr>
          <w:cantSplit/>
          <w:tblHeader/>
        </w:trPr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</w:tr>
      <w:tr w:rsidR="00E022AC">
        <w:trPr>
          <w:cantSplit/>
        </w:trPr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22AC">
        <w:tc>
          <w:tcPr>
            <w:tcW w:w="16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5C0536" w:rsidRDefault="00886398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Style w:val="TableGrid0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0196"/>
      </w:tblGrid>
      <w:tr w:rsidR="00E022AC">
        <w:trPr>
          <w:cantSplit/>
          <w:tblHeader/>
        </w:trPr>
        <w:tc>
          <w:tcPr>
            <w:tcW w:w="11887" w:type="dxa"/>
          </w:tcPr>
          <w:p w:rsidR="005C0536" w:rsidRDefault="008863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границ объекта</w:t>
            </w:r>
          </w:p>
        </w:tc>
      </w:tr>
      <w:tr w:rsidR="00E022AC">
        <w:tc>
          <w:tcPr>
            <w:tcW w:w="11887" w:type="dxa"/>
            <w:tcBorders>
              <w:bottom w:val="nil"/>
            </w:tcBorders>
          </w:tcPr>
          <w:p w:rsidR="005C0536" w:rsidRDefault="008863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82A690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6477000" cy="6118860"/>
                  <wp:effectExtent l="0" t="0" r="0" b="0"/>
                  <wp:docPr id="1881918235" name="093f65f6-7f3c-410c-8177-06d22f072ad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918235" name="093f65f6-7f3c-410c-8177-06d22f072ad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AC">
        <w:tc>
          <w:tcPr>
            <w:tcW w:w="11887" w:type="dxa"/>
            <w:tcBorders>
              <w:top w:val="nil"/>
            </w:tcBorders>
          </w:tcPr>
          <w:p w:rsidR="005C0536" w:rsidRDefault="00886398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" w:name="KP_PLAN_PAGE"/>
            <w:r>
              <w:rPr>
                <w:sz w:val="20"/>
                <w:szCs w:val="20"/>
              </w:rPr>
              <w:t>Масштаб 1:1000</w:t>
            </w:r>
            <w:bookmarkEnd w:id="1"/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bottom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3"/>
        <w:gridCol w:w="9343"/>
      </w:tblGrid>
      <w:tr w:rsidR="00E022AC" w:rsidRPr="008626B0">
        <w:trPr>
          <w:cantSplit/>
          <w:tblHeader/>
        </w:trPr>
        <w:tc>
          <w:tcPr>
            <w:tcW w:w="11887" w:type="dxa"/>
            <w:gridSpan w:val="2"/>
          </w:tcPr>
          <w:p w:rsidR="005C0536" w:rsidRDefault="0088639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условные знаки и обозначения:</w:t>
            </w:r>
          </w:p>
        </w:tc>
      </w:tr>
      <w:tr w:rsidR="00E022AC" w:rsidRPr="008626B0">
        <w:tc>
          <w:tcPr>
            <w:tcW w:w="1000" w:type="dxa"/>
          </w:tcPr>
          <w:p w:rsidR="005C0536" w:rsidRDefault="005C0536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10887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обозначения представлены на листе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PAGEREF KP_PLAN_USL_PAGE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DD11FF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top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49"/>
        <w:gridCol w:w="5347"/>
      </w:tblGrid>
      <w:tr w:rsidR="00E022AC">
        <w:tc>
          <w:tcPr>
            <w:tcW w:w="5400" w:type="dxa"/>
          </w:tcPr>
          <w:p w:rsidR="005C0536" w:rsidRDefault="00886398">
            <w:pPr>
              <w:spacing w:before="1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 Шалыгин Н. В.</w:t>
            </w:r>
          </w:p>
        </w:tc>
        <w:tc>
          <w:tcPr>
            <w:tcW w:w="6507" w:type="dxa"/>
          </w:tcPr>
          <w:p w:rsidR="005C0536" w:rsidRDefault="00886398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19 января 2023 г.</w:t>
            </w:r>
          </w:p>
        </w:tc>
      </w:tr>
      <w:tr w:rsidR="00E022AC" w:rsidRPr="008626B0">
        <w:tc>
          <w:tcPr>
            <w:tcW w:w="11907" w:type="dxa"/>
            <w:gridSpan w:val="2"/>
            <w:tcBorders>
              <w:bottom w:val="single" w:sz="6" w:space="0" w:color="auto"/>
            </w:tcBorders>
          </w:tcPr>
          <w:p w:rsidR="005C0536" w:rsidRDefault="00886398">
            <w:pPr>
              <w:spacing w:before="42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  <w:sectPr w:rsidR="005C0536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Style w:val="TableGrid0"/>
        <w:tblW w:w="0" w:type="auto"/>
        <w:tblBorders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00"/>
        <w:gridCol w:w="9280"/>
      </w:tblGrid>
      <w:tr w:rsidR="00E022AC" w:rsidRPr="008626B0">
        <w:trPr>
          <w:cantSplit/>
          <w:tblHeader/>
        </w:trPr>
        <w:tc>
          <w:tcPr>
            <w:tcW w:w="0" w:type="auto"/>
            <w:gridSpan w:val="2"/>
          </w:tcPr>
          <w:p w:rsidR="005C0536" w:rsidRDefault="005C0536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2" w:name="KP_PLAN_USL_PAGE"/>
            <w:bookmarkEnd w:id="2"/>
          </w:p>
        </w:tc>
      </w:tr>
      <w:tr w:rsidR="00E022AC">
        <w:trPr>
          <w:cantSplit/>
          <w:trHeight w:val="200"/>
          <w:tblHeader/>
        </w:trPr>
        <w:tc>
          <w:tcPr>
            <w:tcW w:w="0" w:type="auto"/>
            <w:gridSpan w:val="2"/>
          </w:tcPr>
          <w:p w:rsidR="005C0536" w:rsidRDefault="00886398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обозначения</w:t>
            </w:r>
          </w:p>
        </w:tc>
      </w:tr>
      <w:tr w:rsidR="00E022AC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2" name="e7a83806-1947-43f1-ace3-b1506bacfbb8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7a83806-1947-43f1-ace3-b1506bacfbb8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Характерная точка границы объекта</w:t>
            </w:r>
          </w:p>
        </w:tc>
      </w:tr>
      <w:tr w:rsidR="00E022AC" w:rsidRPr="008626B0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3" name="353a6647-c5f7-48c4-a877-85207b97b71e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53a6647-c5f7-48c4-a877-85207b97b71e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номеров характерных точек границы объекта</w:t>
            </w:r>
          </w:p>
        </w:tc>
      </w:tr>
      <w:tr w:rsidR="00E022AC" w:rsidRPr="008626B0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4" name="8f01d307-f6e7-40ff-8deb-7d83c9bb4579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f01d307-f6e7-40ff-8deb-7d83c9bb457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E022AC" w:rsidRPr="008626B0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5" name="621b3582-9245-4382-9431-bb9c05495783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21b3582-9245-4382-9431-bb9c0549578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Надписи кадастрового номера земельного участка</w:t>
            </w:r>
          </w:p>
        </w:tc>
      </w:tr>
      <w:tr w:rsidR="00E022AC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6" name="1cab1fc9-b587-47cf-a364-551c7ddd57fb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cab1fc9-b587-47cf-a364-551c7ddd57fb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объекта</w:t>
            </w:r>
          </w:p>
        </w:tc>
      </w:tr>
      <w:tr w:rsidR="00E022AC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7" name="1a96dde4-008d-40f3-bfa3-f64f044ad63d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a96dde4-008d-40f3-bfa3-f64f044ad63d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кадастрового квартала</w:t>
            </w:r>
          </w:p>
        </w:tc>
      </w:tr>
      <w:tr w:rsidR="00E022AC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8" name="145bef51-f4e8-459c-aceb-cc135c58af60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45bef51-f4e8-459c-aceb-cc135c58af6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кадастрового квартала</w:t>
            </w:r>
          </w:p>
        </w:tc>
      </w:tr>
      <w:tr w:rsidR="00E022AC">
        <w:tc>
          <w:tcPr>
            <w:tcW w:w="1000" w:type="dxa"/>
          </w:tcPr>
          <w:p w:rsidR="005C0536" w:rsidRDefault="00886398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0" t="0" r="0" b="0"/>
                  <wp:docPr id="9" name="bb624f73-ee49-4f44-a17f-77c81110a75a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b624f73-ee49-4f44-a17f-77c81110a75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</w:tcPr>
          <w:p w:rsidR="005C0536" w:rsidRDefault="0088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линия электропередач</w:t>
            </w:r>
          </w:p>
        </w:tc>
      </w:tr>
    </w:tbl>
    <w:p w:rsidR="005C0536" w:rsidRDefault="005C0536">
      <w:pPr>
        <w:rPr>
          <w:sz w:val="20"/>
          <w:szCs w:val="20"/>
          <w:lang w:val="ru-RU" w:eastAsia="ru-RU"/>
        </w:rPr>
      </w:pPr>
    </w:p>
    <w:tbl>
      <w:tblPr>
        <w:tblStyle w:val="TableGrid0"/>
        <w:tblW w:w="0" w:type="auto"/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E022AC" w:rsidRPr="008626B0">
        <w:trPr>
          <w:cantSplit/>
          <w:tblHeader/>
        </w:trPr>
        <w:tc>
          <w:tcPr>
            <w:tcW w:w="0" w:type="auto"/>
            <w:gridSpan w:val="3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E022AC" w:rsidTr="00886398">
        <w:trPr>
          <w:cantSplit/>
          <w:tblHeader/>
        </w:trPr>
        <w:tc>
          <w:tcPr>
            <w:tcW w:w="0" w:type="auto"/>
            <w:gridSpan w:val="2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7420" w:type="dxa"/>
            <w:vMerge w:val="restart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E022AC">
        <w:trPr>
          <w:cantSplit/>
          <w:tblHeader/>
        </w:trPr>
        <w:tc>
          <w:tcPr>
            <w:tcW w:w="145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450" w:type="dxa"/>
            <w:vAlign w:val="center"/>
          </w:tcPr>
          <w:p w:rsidR="005C0536" w:rsidRDefault="00886398">
            <w:pPr>
              <w:keepNext/>
              <w:keepLines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0" w:type="auto"/>
            <w:vMerge/>
          </w:tcPr>
          <w:p w:rsidR="005C0536" w:rsidRDefault="005C0536">
            <w:pPr>
              <w:rPr>
                <w:sz w:val="20"/>
                <w:szCs w:val="20"/>
              </w:rPr>
            </w:pPr>
          </w:p>
        </w:tc>
      </w:tr>
      <w:tr w:rsidR="00E022AC">
        <w:trPr>
          <w:cantSplit/>
        </w:trPr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C0536" w:rsidRDefault="00886398">
            <w:pPr>
              <w:keepNext/>
              <w:keepLines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22AC" w:rsidRPr="008626B0">
        <w:tc>
          <w:tcPr>
            <w:tcW w:w="145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0" w:type="dxa"/>
            <w:vAlign w:val="center"/>
          </w:tcPr>
          <w:p w:rsidR="005C0536" w:rsidRDefault="00886398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границах земельного участка 75:06:000000:69</w:t>
            </w:r>
          </w:p>
        </w:tc>
      </w:tr>
    </w:tbl>
    <w:p w:rsidR="0086047A" w:rsidRDefault="0086047A">
      <w:pPr>
        <w:rPr>
          <w:sz w:val="20"/>
          <w:szCs w:val="20"/>
          <w:lang w:val="ru-RU" w:eastAsia="ru-RU"/>
        </w:rPr>
      </w:pPr>
    </w:p>
    <w:p w:rsidR="00A77B3E" w:rsidRPr="00886398" w:rsidRDefault="00A77B3E">
      <w:pPr>
        <w:rPr>
          <w:lang w:val="ru-RU"/>
        </w:rPr>
      </w:pPr>
    </w:p>
    <w:sectPr w:rsidR="00A77B3E" w:rsidRPr="00886398">
      <w:pgSz w:w="11904" w:h="16840"/>
      <w:pgMar w:top="566" w:right="524" w:bottom="74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1F15"/>
    <w:rsid w:val="001E7958"/>
    <w:rsid w:val="00292ADA"/>
    <w:rsid w:val="003A66E6"/>
    <w:rsid w:val="003B7CC1"/>
    <w:rsid w:val="0040540C"/>
    <w:rsid w:val="00494C6B"/>
    <w:rsid w:val="004C3252"/>
    <w:rsid w:val="004F76E0"/>
    <w:rsid w:val="00584D29"/>
    <w:rsid w:val="005C0536"/>
    <w:rsid w:val="006357F3"/>
    <w:rsid w:val="006C0D04"/>
    <w:rsid w:val="00764999"/>
    <w:rsid w:val="0086047A"/>
    <w:rsid w:val="008626B0"/>
    <w:rsid w:val="00886398"/>
    <w:rsid w:val="00A77B3E"/>
    <w:rsid w:val="00B0781C"/>
    <w:rsid w:val="00B85D08"/>
    <w:rsid w:val="00BB3D3B"/>
    <w:rsid w:val="00CA2A55"/>
    <w:rsid w:val="00DD11FF"/>
    <w:rsid w:val="00E022AC"/>
    <w:rsid w:val="00E11F56"/>
    <w:rsid w:val="00E12A86"/>
    <w:rsid w:val="00E91E08"/>
    <w:rsid w:val="00EE0409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47EEA"/>
  <w15:docId w15:val="{64E8E1E8-E59B-4CD1-92A5-4113792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rsid w:val="005C053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8">
    <w:name w:val="Balloon Text"/>
    <w:basedOn w:val="a"/>
    <w:link w:val="a9"/>
    <w:rsid w:val="00DD11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D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2023-03-13T02:13:00Z</cp:lastPrinted>
  <dcterms:created xsi:type="dcterms:W3CDTF">2023-03-11T09:10:00Z</dcterms:created>
  <dcterms:modified xsi:type="dcterms:W3CDTF">2023-03-16T01:50:00Z</dcterms:modified>
</cp:coreProperties>
</file>